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Зарплата составляет менее половины доходов украинцев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2020-10-10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По данным Госстата Украины во втором квартале текущего года общем объеме доходов украинцев доля зарплаты составила лишь 45,5%. Сумма доходов во втором квартале оценивается в 867,55 млрд. грн., тогда как зарплата составила 394,22 млрд. грн.</w:t>
      </w:r>
      <w:r/>
    </w:p>
    <w:p>
      <w:r>
        <w:t>Остальная часть, среди прочего, приходится на различного рода социальную помощь — 167,5 млрд. грн. (19,3% от доходов украинцев), а также смешанный доход – 132,8 млрд. грн. (15,3%).</w:t>
      </w:r>
    </w:p>
    <w:p>
      <w:r>
        <w:t>Госстат отмечает, что в карантинном втором квартале 2020 года по сравнению с аналогичным периодом 2019 года больше всего сократились расходы украинцев на:</w:t>
      </w:r>
    </w:p>
    <w:p>
      <w:pPr>
        <w:pStyle w:val="ListBullet"/>
        <w:numPr>
          <w:numId w:val="10"/>
        </w:numPr>
      </w:pPr>
      <w:r>
        <w:t>рестораны и гостиницы — на 38,7%;</w:t>
      </w:r>
    </w:p>
    <w:p>
      <w:pPr>
        <w:pStyle w:val="ListBullet"/>
      </w:pPr>
      <w:r>
        <w:t>отдых и культура — на 28,1%;</w:t>
      </w:r>
    </w:p>
    <w:p>
      <w:pPr>
        <w:pStyle w:val="ListBullet"/>
      </w:pPr>
      <w:r>
        <w:t>транспорт — на 27,8%;</w:t>
      </w:r>
    </w:p>
    <w:p>
      <w:pPr>
        <w:pStyle w:val="ListBullet"/>
      </w:pPr>
      <w:r>
        <w:t>одежда и обувь — на 19,2%;</w:t>
      </w:r>
    </w:p>
    <w:p>
      <w:pPr>
        <w:pStyle w:val="ListBullet"/>
      </w:pPr>
      <w:r>
        <w:t>образование — на 17,3%;</w:t>
      </w:r>
    </w:p>
    <w:p>
      <w:pPr>
        <w:pStyle w:val="ListBullet"/>
      </w:pPr>
      <w:r>
        <w:t>другие товары и услуги — на 16%,</w:t>
      </w:r>
    </w:p>
    <w:p>
      <w:pPr>
        <w:pStyle w:val="ListBullet"/>
      </w:pPr>
      <w:r>
        <w:t>алкоголь и табачные изделия — на 11,1%.</w:t>
      </w:r>
    </w:p>
    <w:p>
      <w:pPr>
        <w:pStyle w:val="ListBullet"/>
      </w:pPr>
      <w:r>
        <w:t>продукты питания и безалкогольные напитки — на 7,5%;</w:t>
      </w:r>
    </w:p>
    <w:p>
      <w:pPr>
        <w:pStyle w:val="ListBullet"/>
      </w:pPr>
      <w:r>
        <w:t>связь — на 6%;</w:t>
      </w:r>
    </w:p>
    <w:p>
      <w:pPr>
        <w:pStyle w:val="ListBullet"/>
      </w:pPr>
      <w:r>
        <w:t>здравоохранение — 2,5%.</w:t>
      </w:r>
    </w:p>
    <w:p>
      <w:r>
        <w:t xml:space="preserve"> </w:t>
      </w:r>
    </w:p>
    <w:p>
      <w:r>
        <w:t>Источники:</w:t>
      </w:r>
    </w:p>
    <w:p>
      <w:pPr>
        <w:pStyle w:val="ListNumber"/>
        <w:numPr>
          <w:numId w:val="11"/>
        </w:numPr>
      </w:pPr>
      <w:hyperlink r:id="rId11">
        <w:r>
          <w:rPr>
            <w:color w:val="0000FF"/>
            <w:u w:val="single"/>
          </w:rPr>
          <w:t>http://www.ukrstat.gov.ua/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8"/>
    <w:lvlOverride w:ilvl="0">
      <w:startOverride w:val="1"/>
    </w:lvlOverride>
  </w:num>
  <w:num w:numId="11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zarplata-sostavlyaet-menee-poloviny-doxodov-ukraincev" TargetMode="External"/><Relationship Id="rId11" Type="http://schemas.openxmlformats.org/officeDocument/2006/relationships/hyperlink" Target="http://www.ukrstat.gov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