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Сверхдоходы банков и хронические долги населения — итог капиталистической политики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2025-08-30</w:t>
      </w:r>
    </w:p>
    <w:p>
      <w:pPr/>
      <w:r>
        <w:t>2 мин. на чтение</w:t>
      </w:r>
    </w:p>
    <w:p/>
    <w:p>
      <w:r>
        <w:t>Банковский сектор Украины демонстрирует аномальную устойчивость и сверхприбыльность на фоне продолжающихся военных действий и экономического кризиса. Пока миллионы трудящихся сталкиваются с ростом задолженности по кредитам и коммунальным платежам, капитал концентрируется в руках крупнейших игроков финансового рынка. Эта картина наглядно показывает: за счёт чьей эксплуатации и обнищания формируются миллиарды прибылей.</w:t>
      </w:r>
      <w:r>
        <w:br/>
      </w:r>
      <w:r>
        <w:br/>
      </w:r>
      <w:r>
        <w:t>При всём этом правительство и правящий класс не устают повторять о "дефиците бюджета" и необходимости экономии, что ведёт к ещё большему снижению итак невысокого уровня материального благосостояния рабочего класса. В то же время не скрывается, что банки продолжают бить рекорды по сверхприбыли.</w:t>
      </w:r>
    </w:p>
    <w:p>
      <w:r>
        <w:t xml:space="preserve">По </w:t>
      </w:r>
      <w:hyperlink r:id="rId11">
        <w:r>
          <w:rPr>
            <w:color w:val="0000FF"/>
            <w:u w:val="single"/>
          </w:rPr>
          <w:t>статистике</w:t>
        </w:r>
      </w:hyperlink>
      <w:r>
        <w:t xml:space="preserve"> за первое полугодие 2025 года, украинские банки заработали 100,06 млрд грн до уплаты налогов и 78,07 млрд. грн чистой прибыли после уплаты налогов. При этом сохраняется и распределение капитала в сторону больших игроков, а каждый пятый банк является убыточным.</w:t>
      </w:r>
    </w:p>
    <w:p>
      <w:r>
        <w:t>Так неизменный топ-10 крупных банков сгенерировал 87% прибыли всего банковского сектора — 68,05 млрд грн. При этом большую часть доли самых крупных банков — 51,3% сгенерировал "ПриватБанк". Особенно показательно, что концентрация капитала в руках небольшого числа банков приведет к ухудшению условий кредитования и росту цен на товары и услуги.</w:t>
      </w:r>
    </w:p>
    <w:p>
      <w:r>
        <w:t xml:space="preserve">Основными источниками дохода стали кредиты и комиссии. Также как </w:t>
      </w:r>
      <w:hyperlink r:id="rId12">
        <w:r>
          <w:rPr>
            <w:color w:val="0000FF"/>
            <w:u w:val="single"/>
          </w:rPr>
          <w:t>сообщает</w:t>
        </w:r>
      </w:hyperlink>
      <w:r>
        <w:t xml:space="preserve"> НБУ чистая процентная "маржа" выросла до 7,5%, процентные доходы — на 14,2%, комиссионные — на 10,9%.</w:t>
      </w:r>
    </w:p>
    <w:p>
      <w:r>
        <w:t>Таким образом даже снижение прибыли во втором квартале на 2,1% по сравнению с первым не меняет сути: финансовый сектор, в особенности для государства остаётся сверхприбыльным, несмотря на кризис в экономике, а остальные проблемы ложатся исключительно на плечи рабочих, которых все больше загоняют в кабалу.</w:t>
      </w:r>
    </w:p>
    <w:p>
      <w:r>
        <w:t xml:space="preserve">Увеличилось и количество выданных кредитов, соответственно и долгов по ним. Так в июне 2025 года общий </w:t>
      </w:r>
      <w:hyperlink r:id="rId13">
        <w:r>
          <w:rPr>
            <w:color w:val="0000FF"/>
            <w:u w:val="single"/>
          </w:rPr>
          <w:t>объем</w:t>
        </w:r>
      </w:hyperlink>
      <w:r>
        <w:t xml:space="preserve"> кредитов, выданных населению, достиг 328,78 млрд гривен, в июне 2024 года этот показатель составляет 267,74 млрд грн, что является значительным приростом.</w:t>
      </w:r>
    </w:p>
    <w:p>
      <w:r>
        <w:t xml:space="preserve">Растут также и </w:t>
      </w:r>
      <w:hyperlink r:id="rId14">
        <w:r>
          <w:rPr>
            <w:color w:val="0000FF"/>
            <w:u w:val="single"/>
          </w:rPr>
          <w:t>долги</w:t>
        </w:r>
      </w:hyperlink>
      <w:r>
        <w:t xml:space="preserve"> за коммунальные услуги. К середине 2025 года задолженность за коммунальные услуги превысила 106,6 млрд грн.</w:t>
      </w:r>
    </w:p>
    <w:p>
      <w:r>
        <w:t>Общая сумма состоит из:</w:t>
      </w:r>
      <w:r>
        <w:br/>
      </w:r>
      <w:r>
        <w:t>▪️отопление и горячая вода — 35,2 млрд грн;</w:t>
      </w:r>
      <w:r>
        <w:br/>
      </w:r>
      <w:r>
        <w:t>▪️газ — 32,3 млрд;</w:t>
      </w:r>
      <w:r>
        <w:br/>
      </w:r>
      <w:r>
        <w:t>▪️электроэнергия — 17,1 млрд;</w:t>
      </w:r>
      <w:r>
        <w:br/>
      </w:r>
      <w:r>
        <w:t>▪️холодная вода — 10,2 млрд ;</w:t>
      </w:r>
      <w:r>
        <w:br/>
      </w:r>
      <w:r>
        <w:t>▪️содержание домов — 8,8 млрд;</w:t>
      </w:r>
      <w:r>
        <w:br/>
      </w:r>
      <w:r>
        <w:t>▪️вывоз мусора — 3,1 млрд.</w:t>
      </w:r>
    </w:p>
    <w:p>
      <w:r>
        <w:t xml:space="preserve">Для </w:t>
      </w:r>
      <w:hyperlink r:id="rId15">
        <w:r>
          <w:rPr>
            <w:color w:val="0000FF"/>
            <w:u w:val="single"/>
          </w:rPr>
          <w:t>сравнения</w:t>
        </w:r>
      </w:hyperlink>
      <w:r>
        <w:t>: в 2021 году сумма долгов составляла 81,3 млрд грн. За последние три года прирост превысил 25 млрд. При этом из начисленных 64,3 млрд грн за 2 квартал 2025 года оплачено было только 51,5 млрд. Это значит, что население не способно покрывать даже текущие обязательства, а долги становятся хроническими.</w:t>
      </w:r>
    </w:p>
    <w:p>
      <w:r>
        <w:t>Капитал вновь доказал свою сущность — он паразитирует на труде рабочих и на нужде населения. Рост процентных доходов и комиссий — это не "эффективность банковской системы", как утверждает правящий класс, а обобрание людей, вынужденных залезать в кредиты ради элементарного выживания. Увеличение задолженности за коммунальные услуги — прямое следствие того, что зарплаты не покрывают даже базовых потребностей, а тарифы продолжают расти.</w:t>
      </w:r>
    </w:p>
    <w:p>
      <w:r>
        <w:t>Концентрация прибыли в руках нескольких банков, прежде всего государственного "ПриватБанка", означает, что именно государство играет ключевую роль в перераспределении богатств в пользу финансовой олигархии. С одной стороны, оно прикрывается риторикой о "бюджетном дефиците" и "необходимости экономии", с другой — гарантирует стабильность доходов банкам и их акционерам.</w:t>
      </w:r>
    </w:p>
    <w:p>
      <w:r>
        <w:t>Такое положение вещей не случайно, а закономерно для капитализма: кризис оплачивается трудящимися, а сверхприбыли остаются у собственников банков.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vierkhdokhody-bankov-i-khronichieskiie-dolghi-nasielieniia-itogh-kapitalistichieskoi-politiki" TargetMode="External"/><Relationship Id="rId11" Type="http://schemas.openxmlformats.org/officeDocument/2006/relationships/hyperlink" Target="https://opendatabot.ua/analytics/banks-2025-6" TargetMode="External"/><Relationship Id="rId12" Type="http://schemas.openxmlformats.org/officeDocument/2006/relationships/hyperlink" Target="https://bank.gov.ua/ua/news/all/kredituvannya-stalo-klyuchovim-chinnikom-pidtrimki-pributkovosti-bankiv-u-pershomu-pivrichchi" TargetMode="External"/><Relationship Id="rId13" Type="http://schemas.openxmlformats.org/officeDocument/2006/relationships/hyperlink" Target="https://www.theglobaleconomy.com/ukraine/household_credit/" TargetMode="External"/><Relationship Id="rId14" Type="http://schemas.openxmlformats.org/officeDocument/2006/relationships/hyperlink" Target="https://www.ukrstat.gov.ua/operativ/operativ2021/zf/spnrz/arh_snz_2021u.htm" TargetMode="External"/><Relationship Id="rId15" Type="http://schemas.openxmlformats.org/officeDocument/2006/relationships/hyperlink" Target="https://stat.gov.ua/uk/explorer?urn=SSSU:DF_COMMUNAL_SERVICES(~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