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минимальной зарплаты и прожиточного минимума в 2020 году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Наступил Новый 2020 год, а это означает, что вступил в силу Закон Украины “О государственном бюджете”. Согласно данному документу в 2020 году минимальная зарплата украинцев поднялась с 4173 грн. до 4723 грн., а минимальная пенсия в этом году вырастет с 1638 грн. до 1769 грн.</w:t>
      </w:r>
      <w:r/>
    </w:p>
    <w:p>
      <w:r>
        <w:t>Также с 2020 года увеличивается количество трудового стажа для выхода на пенсию по возрасту. Согласно Закону Украины “об общеобязательном государственном пенсионном страховании”, теперь на получение пенсии по возрасту по достижению 60-ти лет могут претендовать только те, кто имеет страховой стаж не менее 27-ми лет. В случае нехватки трудового стажа, пенсионный возраст наступит не в 60, а в 63 года или в 65 лет, в зависимости от имеющегося трудового стажа и даты обращения за назначением пенсии.</w:t>
      </w:r>
    </w:p>
    <w:p>
      <w:r>
        <w:t xml:space="preserve">Более того, новый год станет последним “льготным” годом пенсионного возраста для женщин. В возрасте до 60 лет на пенсию смогут выйти только женщины, которые родились с 1 октября 1960 г. по 31 марта 1961 года. Рожденные после марта 1961 года могут рассчитывать на пенсию лишь в 2021 году, одновременно с мужчинами своего года. </w:t>
      </w:r>
    </w:p>
    <w:p>
      <w:r>
        <w:t xml:space="preserve">Что же касается прожиточного минимума, то здесь всё куда интересней. Мы сейчас не будем вдаваться в подробности скандала вокруг самой процедуры определения прожиточного минимума и потребительской корзины на основе которой он, собственно, определяется. Если вкратце, то еще 20 декабря 2018 года Верховный суд Украины признал потребительскую корзину незаконной и поставил точку в тяжбах, начавшихся еще в 2015 году.  </w:t>
      </w:r>
    </w:p>
    <w:p>
      <w:r>
        <w:t>Согласно Закону “О прожиточном минимуме” Минсоцполитики ежемесячно подсчитывает фактический размер этого показателя на основе официальных данных: стоимости потребительских товаров и бытовых услуг по информации от Государственной службы статистики, коммунальных услуг от НКРЭ и услуг связи от Нац. комиссии по гос. регулированию в сфере связи и информации. По подсчетам за ноябрь 2018 года, сумма фактического прожиточного минимума составляла 3471 грн., в то время как его размер, заложенный в Государственном бюджете, почти в 2 раза ниже — 1853 грн. На большее в Государственном бюджете денег попросту нет. Напомним, что в 2020 году прожиточный минимум составляет 2073 грн.</w:t>
      </w:r>
    </w:p>
    <w:p>
      <w:r>
        <w:t>Таким образом, государство лишний раз демонстрирует, что оно является лишь механизмом подавления и угнетения в руках правящего класса. Украина — типичное капиталистическое государство, во главе которого стоят олигархи и защищать оно будет именно их интересы, а не интересы простых рабочих.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https://zakon.rada.gov.ua/laws/show/966-14#n61</w:t>
        </w:r>
      </w:hyperlink>
      <w:hyperlink r:id="rId12">
        <w:r>
          <w:rPr>
            <w:color w:val="0000FF"/>
            <w:u w:val="single"/>
          </w:rPr>
          <w:t>https://112.ua/statji/deneg-net-no-vy-derzhites-pochemu-nezakonnyy-prozhitochnyy-minimum-nelzya-uvelichit-477430.html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https://zakon.rada.gov.ua/laws/main/294-IX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https://zakon.rada.gov.ua/laws/show/1058-15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https://vesti.ua/strana/v-ukraine-otmenili-vremennye-ogranicheniya-dlya-monetizatsii-subsidij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https://vesti.ua/strana/v-ukraine-nachali-dejstvovat-novye-tseny-na-gaz-dlya-naseleniya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ost-minimalnoj-zarplaty-i-prozhitochnogo-minimuma-v-2020-godu" TargetMode="External"/><Relationship Id="rId11" Type="http://schemas.openxmlformats.org/officeDocument/2006/relationships/hyperlink" Target="https://zakon.rada.gov.ua/laws/show/966-14#n61" TargetMode="External"/><Relationship Id="rId12" Type="http://schemas.openxmlformats.org/officeDocument/2006/relationships/hyperlink" Target="https://112.ua/statji/deneg-net-no-vy-derzhites-pochemu-nezakonnyy-prozhitochnyy-minimum-nelzya-uvelichit-477430.html" TargetMode="External"/><Relationship Id="rId13" Type="http://schemas.openxmlformats.org/officeDocument/2006/relationships/hyperlink" Target="https://zakon.rada.gov.ua/laws/main/294-IX" TargetMode="External"/><Relationship Id="rId14" Type="http://schemas.openxmlformats.org/officeDocument/2006/relationships/hyperlink" Target="https://zakon.rada.gov.ua/laws/show/1058-15" TargetMode="External"/><Relationship Id="rId15" Type="http://schemas.openxmlformats.org/officeDocument/2006/relationships/hyperlink" Target="https://vesti.ua/strana/v-ukraine-otmenili-vremennye-ogranicheniya-dlya-monetizatsii-subsidij" TargetMode="External"/><Relationship Id="rId16" Type="http://schemas.openxmlformats.org/officeDocument/2006/relationships/hyperlink" Target="https://vesti.ua/strana/v-ukraine-nachali-dejstvovat-novye-tseny-na-gaz-dlya-nase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