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Монополизация под прикрытием модернизации: кто контролирует украинский графит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2025-08-19</w:t>
      </w:r>
    </w:p>
    <w:p>
      <w:pPr/>
      <w:r>
        <w:t>2 мин. на чтение</w:t>
      </w:r>
    </w:p>
    <w:p/>
    <w:p>
      <w:r>
        <w:t xml:space="preserve">Государственная служба геологии и недр Украины </w:t>
      </w:r>
      <w:hyperlink r:id="rId11">
        <w:r>
          <w:rPr>
            <w:color w:val="0000FF"/>
            <w:u w:val="single"/>
          </w:rPr>
          <w:t>внесла</w:t>
        </w:r>
      </w:hyperlink>
      <w:r>
        <w:t xml:space="preserve"> изменения в специальное разрешение № 6345 на Южный участок Балаховского месторождения графита, расширив его границы до 50 % от первоначальной площади (71,2 га). Казалось бы, ничем не примечательная новость, но, как часто бывает в украинских реалиях, за сухой бюрократической формулировкой скрывалась настоящая шахматная партия — с миллионами долларов и политикой. </w:t>
      </w:r>
    </w:p>
    <w:p>
      <w:r>
        <w:t xml:space="preserve">Владелец участка — ООО «Развитие Побужья» — не новичок в игре. За этой скромной вывеской стоит не кто-нибудь, а группа BGV Group Management Геннадия Буткевича, известного широкой публике как сооснователь сети АТБ. Как оказалось, он умеет не только торговать продуктами, но и запускать промышленные проекты. </w:t>
      </w:r>
    </w:p>
    <w:p>
      <w:r>
        <w:t xml:space="preserve">В 2024 году компания заявила, что готова вложить $400 млн: построить горно-обогатительный комбинат, запустить производство графитового концентрата и сферического графита — стратегического компонента для литий-ионных аккумуляторов. Планы амбициозные. </w:t>
      </w:r>
    </w:p>
    <w:p>
      <w:r>
        <w:t xml:space="preserve">В июне 2025 года проект BGV Graphite внезапно </w:t>
      </w:r>
      <w:hyperlink r:id="rId12">
        <w:r>
          <w:rPr>
            <w:color w:val="0000FF"/>
            <w:u w:val="single"/>
          </w:rPr>
          <w:t>оказался</w:t>
        </w:r>
      </w:hyperlink>
      <w:r>
        <w:t xml:space="preserve"> в числе </w:t>
      </w:r>
      <w:r>
        <w:rPr>
          <w:b/>
        </w:rPr>
        <w:t>13-ти стратегических инициатив для ЕС</w:t>
      </w:r>
      <w:r>
        <w:t xml:space="preserve"> — единственный украинский проект, признанный важным для ресурсной независимости Европы. Удивительное совпадение. </w:t>
      </w:r>
    </w:p>
    <w:p>
      <w:r>
        <w:t xml:space="preserve">И вот уже в июле, на </w:t>
      </w:r>
      <w:hyperlink r:id="rId13">
        <w:r>
          <w:rPr>
            <w:color w:val="0000FF"/>
            <w:u w:val="single"/>
          </w:rPr>
          <w:t>международной конференции в Риме</w:t>
        </w:r>
      </w:hyperlink>
      <w:r>
        <w:t xml:space="preserve">, </w:t>
      </w:r>
      <w:r>
        <w:rPr>
          <w:b/>
        </w:rPr>
        <w:t xml:space="preserve">BGV </w:t>
      </w:r>
      <w:hyperlink r:id="rId14">
        <w:r>
          <w:rPr>
            <w:color w:val="0000FF"/>
            <w:u w:val="single"/>
          </w:rPr>
          <w:t>подписывает</w:t>
        </w:r>
      </w:hyperlink>
      <w:r>
        <w:rPr>
          <w:b/>
        </w:rPr>
        <w:t xml:space="preserve"> письмо о намерениях с Европейским банком реконструкции и развития</w:t>
      </w:r>
      <w:r>
        <w:t xml:space="preserve">. Сам управляющий директор ЕБРР по Украине говорит: да, это будет первый проект в нашей новой структуре для инвестиций на ранних стадиях. Такое доверие просто так не раздают. </w:t>
      </w:r>
    </w:p>
    <w:p>
      <w:r>
        <w:t xml:space="preserve">Похоже, у нас нарисовывается новый монополист. Потому что параллельно </w:t>
      </w:r>
      <w:r>
        <w:rPr>
          <w:b/>
        </w:rPr>
        <w:t>другая компания из орбиты BGV — «Украинская снабженческая группа» — уже контролирует участок Завальевского месторождения графита</w:t>
      </w:r>
      <w:r>
        <w:t xml:space="preserve">, крупнейшего в Европе и одного из крупнейших в мире. Это там, где с 1934 года работал Завальевский графитовый комбинат. Тот самый, </w:t>
      </w:r>
      <w:r>
        <w:rPr>
          <w:b/>
        </w:rPr>
        <w:t xml:space="preserve">который в декабре 2024-го </w:t>
      </w:r>
      <w:hyperlink r:id="rId15">
        <w:r>
          <w:rPr>
            <w:color w:val="0000FF"/>
            <w:u w:val="single"/>
          </w:rPr>
          <w:t>остановился</w:t>
        </w:r>
      </w:hyperlink>
      <w:r>
        <w:rPr>
          <w:b/>
        </w:rPr>
        <w:t xml:space="preserve"> — не справился с тарифами государственных монополий</w:t>
      </w:r>
      <w:r>
        <w:t>.</w:t>
      </w:r>
    </w:p>
    <w:p>
      <w:r>
        <w:t>Вывод напрашивается сам собой: за фасадом «развития промышленности» и «стратегического партнерства с ЕС» мы наблюдаем очередной пример концентрации капитала в руках олигархии. Буткевич, уже давно укрепившийся в торговой сфере, теперь превращает стратегическое сырьё в инструмент монополизации и политического давления. Всё это подаётся как вклад в европейскую «ресурсную независимость», но на деле — это укрепление власти украинского капитала в союзе с транснациональными структурами.</w:t>
      </w:r>
    </w:p>
    <w:p>
      <w:r>
        <w:t>Тот факт, что проект BGV Graphite сразу оказался в числе стратегических инициатив ЕС, не может объясняться лишь «удачей». Здесь мы видим, как буржуазия успешно использует международные институты для легитимации своих интересов. Европейский банк реконструкции и развития предоставляет доверие и капитал не обществу и не государственным инициативам, а частной структуре, тесно связанной с внутренней олигархией. Таким образом, международный капитал и украинский крупный капитал находят общую точку соприкосновения — эксплуатацию стратегических ресурсов страны.</w:t>
      </w:r>
    </w:p>
    <w:p>
      <w:r>
        <w:t>Особенно показательно, что на фоне громких обещаний о «новых рабочих местах» и «развитии региона» обанкротился и остановился Завальевский комбинат — предприятие с почти вековой историей. Причина проста: государственные тарифы и монополии добили старое производство, открывая дорогу «новым» игрокам. На деле же мы видим сознательную политику вытеснения старых производственных структур ради формирования новых частных монополий под европейские кредиты и гарантии. Рабочий класс от этого не выигрывает, а лишь теряет исторические предприятия, вместе с ними — и социальные гарантии.</w:t>
      </w:r>
    </w:p>
    <w:p>
      <w:r>
        <w:t>Таким образом, под красивыми лозунгами о модернизации мы имеем дело с классическим примером т.н. "реструктуризации экономики": разрушение старого во имя нового, где новое — это не прогресс для общества, а усиление позиций капитала. Графитовые рудники превращаются в инструмент накопления и интеграции украинской буржуазии в общеевропейскую систему эксплуатации. А рабочие и население регионов снова остаются статистами в чужой игре, где ставка — миллионы долларов и контроль над стратегическими ресурсами.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onopolizatsiia-pod-prikrytiiem-modiernizatsii-kto-kontroliruiet-ukrainskii-ghrafit" TargetMode="External"/><Relationship Id="rId11" Type="http://schemas.openxmlformats.org/officeDocument/2006/relationships/hyperlink" Target="https://delo.ua/ru/news/gosgeonedr-rassirila-granicy-dobyci-grafita-na-balaxovskom-mestorozdenii-442833" TargetMode="External"/><Relationship Id="rId12" Type="http://schemas.openxmlformats.org/officeDocument/2006/relationships/hyperlink" Target="https://forbes.ua/ru/news/pershe-ukrainske-rodovishche-vklyuchili-do-pereliku-strategichnikh-proektiv-es-bgv-group-butkevicha-04062025-30287" TargetMode="External"/><Relationship Id="rId13" Type="http://schemas.openxmlformats.org/officeDocument/2006/relationships/hyperlink" Target="https://rubryka.com/ru/2025/07/15/bgv-ta-yebrr-pidpysaly-dokumenty-pro-pochatok-strategichnoyi-spivpratsi-v-mezhah-ukrayinskogo-grafitovogo-proyektu/" TargetMode="External"/><Relationship Id="rId14" Type="http://schemas.openxmlformats.org/officeDocument/2006/relationships/hyperlink" Target="https://ru.interfax.com.ua/news/general/1086905.html" TargetMode="External"/><Relationship Id="rId15" Type="http://schemas.openxmlformats.org/officeDocument/2006/relationships/hyperlink" Target="https://gmk.center/news/edinoe-grafitovoe-predpriyatie-ukrainy-priostanovilo-deyateln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