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Государство готовится отбирать жильё у должников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2025-11-08</w:t>
      </w:r>
    </w:p>
    <w:p>
      <w:pPr/>
      <w:r>
        <w:t>2 мин. на чтение</w:t>
      </w:r>
    </w:p>
    <w:p/>
    <w:p>
      <w:r>
        <w:t xml:space="preserve">На этой неделе парламент одобрил </w:t>
      </w:r>
      <w:hyperlink r:id="rId11">
        <w:r>
          <w:rPr>
            <w:color w:val="0000FF"/>
            <w:u w:val="single"/>
          </w:rPr>
          <w:t>законопроект №14005</w:t>
        </w:r>
      </w:hyperlink>
      <w:r>
        <w:t xml:space="preserve"> о внесении изменений в законы, направленный на упрощение исполнительного производства через цифровизацию. </w:t>
      </w:r>
    </w:p>
    <w:p>
      <w:r>
        <w:t xml:space="preserve">Этот законопроект внедряет принципиально новые механизмы в работу исполнительной системы. Основным изменением стало расширение Единого реестра должников, который теперь интегрируется с различными государственными службами. </w:t>
      </w:r>
    </w:p>
    <w:p>
      <w:r>
        <w:t>Ранее взыскание долгов требовало индивидуального рассмотрения с участием судебного исполнителя, уведомления должника и проведения проверок, что позволяло гражданам защищать свои права и проверять корректность начислений. Теперь информация о задолженностях по кредитам, коммунальным платежам, штрафам и другим обязательствам автоматически передается в централизованную электронную систему.</w:t>
      </w:r>
    </w:p>
    <w:p>
      <w:r>
        <w:t xml:space="preserve">При включении лица в реестр должников система самостоятельно вводит ограничения, а дело должника передается государственному или частному исполнителю, который получает мандат — разрешение на конкретные действия. Исполнитель получает доступ ко всем данным и выпискам по счетам лица, включенного в реестр. Среди ограничений — запрет на получение банковских и нотариальных услуг для таких лиц. </w:t>
      </w:r>
    </w:p>
    <w:p>
      <w:r>
        <w:t xml:space="preserve">В соответствии со статьёй 4, предусмотрено автоматическое списание средств: после передачи информации о задолженности из базы исполнительной службы в банки и платёжные системы накладывается арест, и </w:t>
      </w:r>
      <w:hyperlink r:id="rId12">
        <w:r>
          <w:rPr>
            <w:color w:val="0000FF"/>
            <w:u w:val="single"/>
          </w:rPr>
          <w:t>списание происходит без участия</w:t>
        </w:r>
      </w:hyperlink>
      <w:r>
        <w:t xml:space="preserve"> человека.</w:t>
      </w:r>
    </w:p>
    <w:p>
      <w:r>
        <w:t>Статья 6 регламентирует подключение коммунальных предприятий к системе, что позволяет списывать долги за услуги ЖКХ, электричество, воду и газ сразу после их начисления, даже если суммы оспариваются гражданином. Даже небольшой долг может привести к блокировке имущества: минимальный порог задолженности для возможности изъятия единственного жилья установлен на уровне 20 минимальных зарплат, что в 2025 году составляет около 160 тысяч гривен. Для семей с финансовыми трудностями такой уровень задолженности легко достигается при просрочках по кредитам или коммунальным услугам. В категорию рисковых попадают и лица, получающие штрафы от ТЦК.</w:t>
      </w:r>
    </w:p>
    <w:p>
      <w:hyperlink r:id="rId13">
        <w:r>
          <w:rPr>
            <w:color w:val="0000FF"/>
            <w:u w:val="single"/>
          </w:rPr>
          <w:t>Отметим</w:t>
        </w:r>
      </w:hyperlink>
      <w:r>
        <w:t>, что количество долгов по коммунальным услугам выросло на 13% относительно прошлого года, и в реестре должников уже числится около 9 млн человек. К середине октября 2025 года по коммуналке задолжали рекордные 788 тыс. человек. Основная нагрузка ложится на граждан в возрасте 46–60 лет (38%) и 36–45 лет (24,7%), то есть на экономически активное население; долги у людей старше 60 лет (24,6%) отражают ограниченность пенсионных доходов и рост тарифов.</w:t>
      </w:r>
    </w:p>
    <w:p>
      <w:r>
        <w:t>Наибольший долг был за поставку тепловой энергии и горячей воды – 35,2 млрд гривен. За газ украинцы задолжали 32,3 млрд гривен, за электроэнергию – 17,1 млрд гривен, за холодную воду – 10,2 млрд гривен, за управление многоквартирным домом – 8,8 млрд гривен, за вывоз мусора – 3,1 млрд гривен, а общий долг составил 106,64 млрд гривен.</w:t>
      </w:r>
    </w:p>
    <w:p>
      <w:r>
        <w:t xml:space="preserve">Ситуация критическая и по микрокредитам: согласно </w:t>
      </w:r>
      <w:hyperlink r:id="rId14">
        <w:r>
          <w:rPr>
            <w:color w:val="0000FF"/>
            <w:u w:val="single"/>
          </w:rPr>
          <w:t>данным</w:t>
        </w:r>
      </w:hyperlink>
      <w:r>
        <w:t xml:space="preserve"> за сентябрь 2025 года количество микрозаймов выросло за год почти на 9%. За первую половину 2025 года заключено 4,39 млн договоров на сумму 26,44 млрд грн. В целом украинцы задолжали микрофинансовым организациям 24,29 млрд грн. Такая динамика наглядно демонстрирует то, как закредитованное население падает всё глубже в долговую яму.</w:t>
      </w:r>
    </w:p>
    <w:p>
      <w:r>
        <w:t>Экономическая автоматизация исполнительного производства обеспечивает ускорение репрессивных мер по взысканию долгов, не затрагивая глубинные причины их возникновения. Рост тарифов на коммунальные услуги, инфляция и высокие процентные ставки формируют системный характер долговой зависимости семьи, а новый закон лишь усиливает давление на наиболее уязвимые слои населения.</w:t>
      </w:r>
    </w:p>
    <w:p>
      <w:r>
        <w:t xml:space="preserve">В то же время, ответственность за происходящее перекладывается на самих должников. </w:t>
      </w:r>
    </w:p>
    <w:p>
      <w:pPr>
        <w:pStyle w:val="IntenseQuote"/>
      </w:pPr>
      <w:r>
        <w:t xml:space="preserve">«Мы живем не в Советском Союзе. Капитализм подразумевает ответственность. Хотите жить на Печерске – платите. Нет денег — продайте трехкомнатную квартиру за 300 тысяч долларов, купите однокомнатную на Троещине за 70 тысяч, а на разницу живите в достатке дальше... Некоторые украинцы за более чем 30 лет независимости так и не привыкли к ответственности. Пора это изменить», — так </w:t>
      </w:r>
      <w:hyperlink r:id="rId12">
        <w:r>
          <w:rPr>
            <w:color w:val="0000FF"/>
            <w:u w:val="single"/>
          </w:rPr>
          <w:t>прокомментировал</w:t>
        </w:r>
      </w:hyperlink>
      <w:r>
        <w:t xml:space="preserve"> закон адвокат, кандидат юридических наук Сергей Войченко.</w:t>
      </w:r>
    </w:p>
    <w:p>
      <w:r>
        <w:t xml:space="preserve">Реальность такова, что миллионы украинцев вынуждены экономить на оплате коммунальных услуг, а также сталкиваются с </w:t>
      </w:r>
      <w:hyperlink r:id="rId15">
        <w:r>
          <w:rPr>
            <w:color w:val="0000FF"/>
            <w:u w:val="single"/>
          </w:rPr>
          <w:t>безработицей</w:t>
        </w:r>
      </w:hyperlink>
      <w:r>
        <w:t xml:space="preserve">, вынуждены наниматься на низкоквалифицированную работу, едва покрывающего базовые потребности. В это же время большинство пенсионеров продолжают работать и порядка 50% из них получают ежемесячную </w:t>
      </w:r>
      <w:hyperlink r:id="rId16">
        <w:r>
          <w:rPr>
            <w:color w:val="0000FF"/>
            <w:u w:val="single"/>
          </w:rPr>
          <w:t>пенсию ниже 5000 грн</w:t>
        </w:r>
      </w:hyperlink>
      <w:r>
        <w:t>, которой недостаточно для жизни.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sudarstvo-ghotovitsia-otbirat-zhilio-u-dolzhnikov" TargetMode="External"/><Relationship Id="rId11" Type="http://schemas.openxmlformats.org/officeDocument/2006/relationships/hyperlink" Target="https://itd.rada.gov.ua/billinfo/Bills/Card/57241" TargetMode="External"/><Relationship Id="rId12" Type="http://schemas.openxmlformats.org/officeDocument/2006/relationships/hyperlink" Target="https://news.telegraf.com.ua/ukraina/2025-11-07/5924971-zabrati-vse-za-borgi-shcho-naspravdi-dozvolyae-skandalniy-zakonoproekt#zaberut-li-edinstvennuyu-kvartiru-za-340-griven-strafa" TargetMode="External"/><Relationship Id="rId13" Type="http://schemas.openxmlformats.org/officeDocument/2006/relationships/hyperlink" Target="https://t.me/politsturm_ukraine/3004" TargetMode="External"/><Relationship Id="rId14" Type="http://schemas.openxmlformats.org/officeDocument/2006/relationships/hyperlink" Target="https://opendatabot.ua/analytics/mfo-2025-6" TargetMode="External"/><Relationship Id="rId15" Type="http://schemas.openxmlformats.org/officeDocument/2006/relationships/hyperlink" Target="https://t.me/politsturm_ukraine/2990" TargetMode="External"/><Relationship Id="rId16" Type="http://schemas.openxmlformats.org/officeDocument/2006/relationships/hyperlink" Target="https://t.me/politsturm_ukraine/2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