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Больше половины населения Украины страдает от ожирения и низкого уровня образова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Госстат опубликовал ежегодный отчет </w:t>
      </w:r>
      <w:hyperlink r:id="rId11">
        <w:r>
          <w:rPr>
            <w:color w:val="0000FF"/>
            <w:u w:val="single"/>
          </w:rPr>
          <w:t>“Социально-демографические характеристики домохозяйств Украины в 2020 году”</w:t>
        </w:r>
      </w:hyperlink>
      <w:r>
        <w:t>. В данном документе отображено выборочное обследование условий жизни домохозяйств, также он включает средние физические параметры украинцев, уровень физической активности и образования.</w:t>
      </w:r>
      <w:r/>
    </w:p>
    <w:p>
      <w:r>
        <w:t xml:space="preserve">Согласно этим данным, </w:t>
      </w:r>
      <w:r>
        <w:rPr>
          <w:b/>
        </w:rPr>
        <w:t>средний рост граждан Украины</w:t>
      </w:r>
      <w:r>
        <w:t xml:space="preserve"> </w:t>
      </w:r>
      <w:r>
        <w:rPr>
          <w:b/>
        </w:rPr>
        <w:t>старше 18 лет, составляет 169 см</w:t>
      </w:r>
      <w:r>
        <w:t>, при этом:</w:t>
      </w:r>
    </w:p>
    <w:p>
      <w:pPr>
        <w:pStyle w:val="ListBullet"/>
        <w:numPr>
          <w:numId w:val="10"/>
        </w:numPr>
      </w:pPr>
      <w:r>
        <w:t>у женщин — 164 см;</w:t>
      </w:r>
    </w:p>
    <w:p>
      <w:pPr>
        <w:pStyle w:val="ListBullet"/>
      </w:pPr>
      <w:r>
        <w:t>у мужчин — 175 см.</w:t>
      </w:r>
    </w:p>
    <w:p>
      <w:r>
        <w:rPr>
          <w:b/>
        </w:rPr>
        <w:t>Средний вес составляет 75 кг</w:t>
      </w:r>
      <w:r>
        <w:t>, при этом:</w:t>
      </w:r>
    </w:p>
    <w:p>
      <w:pPr>
        <w:pStyle w:val="ListBullet"/>
        <w:numPr>
          <w:numId w:val="11"/>
        </w:numPr>
      </w:pPr>
      <w:r>
        <w:t>у женщин — 71 кг;</w:t>
      </w:r>
    </w:p>
    <w:p>
      <w:pPr>
        <w:pStyle w:val="ListBullet"/>
      </w:pPr>
      <w:r>
        <w:t>у мужчин — 80 кг.</w:t>
      </w:r>
    </w:p>
    <w:p>
      <w:r>
        <w:t xml:space="preserve">Пониженную массу тела имеют 1,2% украинцев, нормальную массу тела — 42,4%, избыточную — </w:t>
      </w:r>
      <w:r>
        <w:rPr>
          <w:b/>
        </w:rPr>
        <w:t>39,7%</w:t>
      </w:r>
      <w:r>
        <w:t xml:space="preserve">, ожирение — </w:t>
      </w:r>
      <w:r>
        <w:rPr>
          <w:b/>
        </w:rPr>
        <w:t>16%</w:t>
      </w:r>
      <w:r>
        <w:t xml:space="preserve">, крайнее ожирение — </w:t>
      </w:r>
      <w:r>
        <w:rPr>
          <w:b/>
        </w:rPr>
        <w:t>0,7%</w:t>
      </w:r>
      <w:r>
        <w:t xml:space="preserve">. Наибольшее число людей с избыточной массой тела наблюдается </w:t>
      </w:r>
      <w:r>
        <w:rPr>
          <w:b/>
        </w:rPr>
        <w:t>в возрастной категории 50-59 лет</w:t>
      </w:r>
      <w:r>
        <w:t>.</w:t>
      </w:r>
    </w:p>
    <w:p>
      <w:r>
        <w:t>Доля населения страны старше 18 лет, которое занимается физкультурой и спортом не менее одного раза в неделю, в 2020 году</w:t>
      </w:r>
    </w:p>
    <w:p>
      <w:pPr>
        <w:pStyle w:val="ListBullet"/>
        <w:numPr>
          <w:numId w:val="12"/>
        </w:numPr>
      </w:pPr>
      <w:r>
        <w:t xml:space="preserve">среди женщин — </w:t>
      </w:r>
      <w:r>
        <w:rPr>
          <w:b/>
        </w:rPr>
        <w:t xml:space="preserve">23,9% </w:t>
      </w:r>
      <w:r>
        <w:t>(в городской местности — 29,6, в сельской — 12,9);</w:t>
      </w:r>
    </w:p>
    <w:p>
      <w:pPr>
        <w:pStyle w:val="ListBullet"/>
      </w:pPr>
      <w:r>
        <w:t xml:space="preserve">среди мужчин — </w:t>
      </w:r>
      <w:r>
        <w:rPr>
          <w:b/>
        </w:rPr>
        <w:t xml:space="preserve">34,6% </w:t>
      </w:r>
      <w:r>
        <w:t>(в городской местности — 39,8, в сельской — 24,8).</w:t>
      </w:r>
    </w:p>
    <w:p>
      <w:r>
        <w:t xml:space="preserve">Госстат также приводит уровень образования населения. Согласно данным исследования, доля украинцев старше 25, имеющих уровень образования не ниже бакалавра, т.е. базовое высшее, составляет </w:t>
      </w:r>
      <w:r>
        <w:rPr>
          <w:b/>
        </w:rPr>
        <w:t>29,4%</w:t>
      </w:r>
      <w:r>
        <w:t xml:space="preserve">. В 2018 году данный показатель равнялся </w:t>
      </w:r>
      <w:r>
        <w:rPr>
          <w:b/>
        </w:rPr>
        <w:t>28,7%</w:t>
      </w:r>
      <w:r>
        <w:t>, но среди украинцев старше 21 года. Как видим манипуляции с повышением возраста не сильно улучшили общую картину. Средняя продолжительность обучения людей старше 25 лет составляет 12,4 лет.</w:t>
      </w:r>
    </w:p>
    <w:p>
      <w:r>
        <w:t>Данные статистики являются результатом того, что расходы на культуру и науку, на просвещение и здравоохранение составляют ничтожную долю в государственных бюджетах капиталистических стран.</w:t>
      </w:r>
    </w:p>
    <w:p>
      <w:r>
        <w:t>Доля национального дохода, идущая на личное потребление трудящихся, являющихся главной производительной силой общества, настолько низка, что она не обеспечивает, как правило, даже прожиточного минимума. Огромная масса рабочих вынуждена отказывать себе и своим семьям в самом необходимом, ютиться в перенаселенном съёмном жилье, лишать себя и детей образования.</w:t>
      </w:r>
    </w:p>
    <w:p>
      <w:r>
        <w:t>Обнищание рабочих проявляется в резком ухудшении жилищных условий (</w:t>
      </w:r>
      <w:r>
        <w:rPr>
          <w:b/>
        </w:rPr>
        <w:t>53% населения</w:t>
      </w:r>
      <w:r>
        <w:t xml:space="preserve"> Украины живет в перенаселенном жилье) и питания, в первую очередь его качества — это, добавив сюда низкую физическую активность, приводит к появлению патологий и заболеваний, результатом которых также нередко является и ожирение, как следствие подрывается здоровье, повышается смертность, сокращается продолжительность жизни рабочего населения.</w:t>
      </w:r>
    </w:p>
    <w:p>
      <w:r>
        <w:t>Расходы капиталистического государства в подавляющей части являются непроизводительными. Огромная доля средств государственного бюджета при капитализме идёт на милитаризацию, усиление армии. Сюда также следует отнести расходы на научные изыскания в области производства и усовершенствования новых вооружений, в т.ч. массового уничтожения людей.</w:t>
      </w:r>
    </w:p>
    <w:p>
      <w:r>
        <w:t>Другая крупная доля расходов капиталистического государства связана с содержанием аппарата угнетения трудящихся — полиция, службу безопасности, различные военизированные организации и прочее.</w:t>
      </w:r>
    </w:p>
    <w:p>
      <w:r>
        <w:t xml:space="preserve">Весьма значительные суммы государство тратит, особенно во время экономических кризисов и войн, на прямую поддержку капиталистических предприятий и на обеспечение им высоких прибылей. Часто </w:t>
      </w:r>
      <w:hyperlink r:id="rId12">
        <w:r>
          <w:rPr>
            <w:color w:val="0000FF"/>
            <w:u w:val="single"/>
          </w:rPr>
          <w:t>субсидии, выдаваемые банкам и промышленникам</w:t>
        </w:r>
      </w:hyperlink>
      <w:r>
        <w:t>, имеют целью спасти их от банкротства во время кризисов. Посредством государственных заказов, осуществляемых за счёт бюджета, миллиардные дополнительные прибыли перекачиваются в карманы крупных капиталистов, а невыдача госзаказов используются, как инструмент удушения конкурентов в промышленности и других отраслях экономики.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http://www.ukrstat.gov.ua/operativ/operativ2020/gdvdg/sdhd/Arh_sdhd.htm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http://finbalance.com.ua/news/nbu-nazvav-banki-v-yakikh-na-01072020-buli-naybilshi-borhi-po-refinansuvannyu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lshe-poloviny-naseleniya-ukrainy-stradaet-ot-ozhireniya-i-nizkogo-urovnya-obrazovaniya" TargetMode="External"/><Relationship Id="rId11" Type="http://schemas.openxmlformats.org/officeDocument/2006/relationships/hyperlink" Target="http://www.ukrstat.gov.ua/operativ/operativ2020/gdvdg/sdhd/Arh_sdhd.htm" TargetMode="External"/><Relationship Id="rId12" Type="http://schemas.openxmlformats.org/officeDocument/2006/relationships/hyperlink" Target="http://finbalance.com.ua/news/nbu-nazvav-banki-v-yakikh-na-01072020-buli-naybilshi-borhi-po-refinansuvann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