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Банковские вклады как зеркало классового расслоения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2025-09-04</w:t>
      </w:r>
    </w:p>
    <w:p>
      <w:pPr/>
      <w:r>
        <w:t>2 мин. на чтение</w:t>
      </w:r>
    </w:p>
    <w:p/>
    <w:p>
      <w:hyperlink r:id="rId11">
        <w:r>
          <w:rPr>
            <w:color w:val="0000FF"/>
            <w:u w:val="single"/>
          </w:rPr>
          <w:t>Данные</w:t>
        </w:r>
      </w:hyperlink>
      <w:r>
        <w:t xml:space="preserve"> Фонда гарантирования вкладов физических лиц (ФГВФЛ) показали, что по состоянию на 1 августа 2025 года общая сумма вкладов физических лиц (в том числе ФЛП) в банках Украины составила 1,48 трлн грн, увеличившись с 1,39 трлн грн в апреле 2025 года.</w:t>
      </w:r>
      <w:r>
        <w:br/>
      </w:r>
      <w:r>
        <w:br/>
      </w:r>
      <w:r>
        <w:t>Бросается в глаза в этих данных — это общий рост депозитов населения. За четыре месяца (с апреля по август) сумма вкладов выросла на почти 90 млрд грн, а за один июль — на 3,9 млрд грн. Это свидетельствует о том, что при всей нестабильности и кризисных процессах в экономике Украины, банковская система продолжает концентрировать в себе сбережения населения. Но этот рост во многом отражает не столько реальное увеличение доходов, сколько последствия инфляции и девальвационных ожиданий, когда люди, не имея других доступных инструментов сохранения капитала, держат деньги в банках.</w:t>
      </w:r>
    </w:p>
    <w:p>
      <w:r>
        <w:t xml:space="preserve">Из общей суммы вкладов физических лиц: </w:t>
      </w:r>
    </w:p>
    <w:p>
      <w:pPr>
        <w:pStyle w:val="ListBullet"/>
        <w:numPr>
          <w:numId w:val="10"/>
        </w:numPr>
      </w:pPr>
      <w:r>
        <w:t xml:space="preserve">вклады в национальной валюте – 959,7 млрд грн (-0,2 млрд грн за июль 2025 г.); </w:t>
      </w:r>
    </w:p>
    <w:p>
      <w:pPr>
        <w:pStyle w:val="ListBullet"/>
      </w:pPr>
      <w:r>
        <w:t>вклады в иностранной валюте – 522,9 млрд грн (+4,2 млрд грн за июль 2025 г.).</w:t>
      </w:r>
    </w:p>
    <w:p>
      <w:r>
        <w:t>Как видим, структура вкладов показывает важный сдвиг: гривневые депозиты за июль уменьшились, тогда как валютные выросли. Это значит, что население теряет доверие к национальной валюте и предпочитает хранить сбережения в «твердой» форме — долларе и евро. Это прямое отражение обесценивания рабочей силы: труд, оплачиваемый в гривне, быстро теряет стоимость, и мелкие собственники пытаются защитить её через валютные накопления. Таким образом, мы видим, что недоверие к государству и его денежной политике закрепляется в массовом поведении вкладчиков.</w:t>
      </w:r>
    </w:p>
    <w:p>
      <w:r>
        <w:t>Доля ФЛП (3,2% по количеству, но более 11% по объёму вкладов) показывает, что мелкий и средний бизнес сосредоточен в сфере денежного накопления сильнее, чем обычные граждане. То есть у предпринимателей формируется относительно больший запас ликвидности, который они используют как резерв для ведения бизнеса или защиты от кризисов. В условиях капиталистической экономики это лишь подчёркивает неравенство: даже т.н. «средний класс» в лице ФЛП значительно лучше защищён финансово, чем наёмные работники. Сумма их вкладов составила 167,7 млрд. грн.</w:t>
      </w:r>
    </w:p>
    <w:p>
      <w:r>
        <w:t>Распределение вкладов физических лиц в банковской системе по размерам выглядит следующим образом:</w:t>
      </w:r>
    </w:p>
    <w:p>
      <w:pPr>
        <w:pStyle w:val="ListBullet"/>
        <w:numPr>
          <w:numId w:val="11"/>
        </w:numPr>
      </w:pPr>
      <w:r>
        <w:t>до 10 грн - 41,09%, доля в общей сумме вкладов - 0,00% (всё верно, читатели, настолько незначительна доля таких вкладов);</w:t>
      </w:r>
    </w:p>
    <w:p>
      <w:pPr>
        <w:pStyle w:val="ListBullet"/>
      </w:pPr>
      <w:r>
        <w:t xml:space="preserve">от 10 до 200 000 грн на счетах - 56,99% вкладчиков, доля в общей сумме вкладов - 27,66%; </w:t>
      </w:r>
    </w:p>
    <w:p>
      <w:pPr>
        <w:pStyle w:val="ListBullet"/>
      </w:pPr>
      <w:r>
        <w:t xml:space="preserve">от 200 000 до 400 000 грн сохраняют 0,97%, доля в общей сумме вкладов - 12,91%; </w:t>
      </w:r>
    </w:p>
    <w:p>
      <w:pPr>
        <w:pStyle w:val="ListBullet"/>
      </w:pPr>
      <w:r>
        <w:t xml:space="preserve">от 400 000 до 600 000 грн у 0,37% граждан, доля в общей сумме вкладов - 8,64%; </w:t>
      </w:r>
    </w:p>
    <w:p>
      <w:pPr>
        <w:pStyle w:val="ListBullet"/>
      </w:pPr>
      <w:r>
        <w:t>свыше 600 000 грн на счете 0,58%, доля в общей сумме вкладов - 50,79%.</w:t>
      </w:r>
    </w:p>
    <w:p>
      <w:r>
        <w:t>Картина распределения вкладов по размерам наглядно демонстрирует классовое расслоение. Подавляющее большинство вкладчиков (около 57%) имеют суммы до 200 тысяч грн — фактически это «подушка безопасности» на случай непредвиденных расходов, а не капитал, приносящий доход. Напротив, верхушка в 1–2% держит сотни тысяч и миллионы, превращая депозиты в инструмент накопления и спекуляции. Это ещё одно подтверждение того, что банковская система обслуживает главным образом интересы узкой, но очень обеспеченной прослойки общества, тогда как рабочая масса держит там лишь минимальные сбережения.</w:t>
      </w:r>
    </w:p>
    <w:p>
      <w:r>
        <w:t>Удельный вес вкладов физических лиц в участниках фонда в соответствии с распределением банков НБУ на группы составляет:</w:t>
      </w:r>
    </w:p>
    <w:p>
      <w:pPr>
        <w:pStyle w:val="ListBullet"/>
        <w:numPr>
          <w:numId w:val="12"/>
        </w:numPr>
      </w:pPr>
      <w:r>
        <w:t>банки с государственной долей - 64,1%;</w:t>
      </w:r>
    </w:p>
    <w:p>
      <w:pPr>
        <w:pStyle w:val="ListBullet"/>
      </w:pPr>
      <w:r>
        <w:t xml:space="preserve">банки иностранных банковских групп - 17,7%; </w:t>
      </w:r>
    </w:p>
    <w:p>
      <w:pPr>
        <w:pStyle w:val="ListBullet"/>
      </w:pPr>
      <w:r>
        <w:t>банки с частным капиталом - 20,9%.</w:t>
      </w:r>
    </w:p>
    <w:p>
      <w:r>
        <w:t xml:space="preserve">Наконец, важно отметить распределение вкладов по типам банков: две трети средств сосредоточены в госбанках, тогда как на иностранные приходится меньше пятой части. Это с одной стороны отражает доминирование капиталистического государства в банковской системе, а с другой — говорит о том, что государственные банки выступают инструментом перераспределения средств рабочих и мелкой буржуазии в интересах правящего класса капиталистов. Ведь именно через них власть финансирует долг, покрывает дефицит бюджета и обслуживает крупный капитал. </w:t>
      </w:r>
    </w:p>
    <w:p>
      <w:r>
        <w:t>Таким образом, даже накопления рядовых граждан превращаются в ресурс эксплуатации, направленный не на общественные потребности, а на поддержку действующей политики буржуазного государства.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ankovskiie-vklady-kak-zierkalo-klassovogho-rassloieniia-v-ukrainie" TargetMode="External"/><Relationship Id="rId11" Type="http://schemas.openxmlformats.org/officeDocument/2006/relationships/hyperlink" Target="https://www.fg.gov.ua/articles/61402-na-1-serpnya-na-bankivskih-rahunkah-ukranciv--mayzhe-pivtora-trilyoni-griv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